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Default="00562EAC">
      <w:r>
        <w:rPr>
          <w:noProof/>
          <w:lang w:eastAsia="es-EC"/>
        </w:rPr>
        <w:drawing>
          <wp:inline distT="0" distB="0" distL="0" distR="0">
            <wp:extent cx="5612130" cy="7484745"/>
            <wp:effectExtent l="0" t="0" r="7620" b="1905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o que confirma e ingreso a programa de victimas y testigos de Diane Rodríguez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s-EC"/>
        </w:rPr>
        <w:lastRenderedPageBreak/>
        <w:drawing>
          <wp:inline distT="0" distB="0" distL="0" distR="0">
            <wp:extent cx="5612130" cy="7484745"/>
            <wp:effectExtent l="0" t="0" r="7620" b="1905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o que confirma e ingreso a programa de victimas y testigos de Diane Rodríguez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562EAC"/>
    <w:rsid w:val="006C38E1"/>
    <w:rsid w:val="00BE15A8"/>
    <w:rsid w:val="00BE79F6"/>
    <w:rsid w:val="00E5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2015-03-08T15:22:00Z</dcterms:created>
  <dcterms:modified xsi:type="dcterms:W3CDTF">2015-03-08T15:22:00Z</dcterms:modified>
</cp:coreProperties>
</file>