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7B0" w:rsidRDefault="00981D7E" w:rsidP="00981D7E">
      <w:pPr>
        <w:jc w:val="center"/>
      </w:pPr>
      <w:r>
        <w:rPr>
          <w:noProof/>
          <w:lang w:eastAsia="es-EC"/>
        </w:rPr>
        <w:drawing>
          <wp:inline distT="0" distB="0" distL="0" distR="0">
            <wp:extent cx="800100" cy="774700"/>
            <wp:effectExtent l="0" t="0" r="0" b="635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ito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93" t="5541" r="39550" b="66293"/>
                    <a:stretch/>
                  </pic:blipFill>
                  <pic:spPr bwMode="auto">
                    <a:xfrm>
                      <a:off x="0" y="0"/>
                      <a:ext cx="800744" cy="775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432A" w:rsidRPr="00F1432A" w:rsidRDefault="00F1432A" w:rsidP="00981D7E">
      <w:pPr>
        <w:jc w:val="center"/>
        <w:rPr>
          <w:rFonts w:ascii="Bookman Old Style" w:hAnsi="Bookman Old Style" w:cs="Times New Roman"/>
          <w:b/>
          <w:color w:val="002060"/>
          <w:sz w:val="24"/>
          <w:szCs w:val="24"/>
        </w:rPr>
      </w:pPr>
      <w:r w:rsidRPr="00F1432A">
        <w:rPr>
          <w:rFonts w:ascii="Bookman Old Style" w:hAnsi="Bookman Old Style" w:cs="Times New Roman"/>
          <w:b/>
          <w:color w:val="002060"/>
          <w:sz w:val="24"/>
          <w:szCs w:val="24"/>
        </w:rPr>
        <w:t>CONSEJO METROPOLITANO DE QUITO</w:t>
      </w:r>
    </w:p>
    <w:p w:rsidR="00F1432A" w:rsidRPr="00F1432A" w:rsidRDefault="00F1432A" w:rsidP="00981D7E">
      <w:pPr>
        <w:jc w:val="center"/>
        <w:rPr>
          <w:rFonts w:ascii="Bookman Old Style" w:hAnsi="Bookman Old Style" w:cs="Times New Roman"/>
          <w:b/>
          <w:color w:val="002060"/>
          <w:sz w:val="24"/>
          <w:szCs w:val="24"/>
        </w:rPr>
      </w:pPr>
      <w:r w:rsidRPr="00F1432A">
        <w:rPr>
          <w:rFonts w:ascii="Bookman Old Style" w:hAnsi="Bookman Old Style" w:cs="Times New Roman"/>
          <w:b/>
          <w:color w:val="002060"/>
          <w:sz w:val="24"/>
          <w:szCs w:val="24"/>
        </w:rPr>
        <w:t>MUNICIPIO DEL DISTRITO METROPOLITANO DE QUITO</w:t>
      </w:r>
    </w:p>
    <w:p w:rsidR="00F1432A" w:rsidRDefault="00F1432A" w:rsidP="00981D7E">
      <w:pPr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1432A">
        <w:rPr>
          <w:rFonts w:ascii="Bookman Old Style" w:hAnsi="Bookman Old Style" w:cs="Times New Roman"/>
          <w:b/>
          <w:sz w:val="24"/>
          <w:szCs w:val="24"/>
        </w:rPr>
        <w:t>ORDENANZA METROPOLITANA No.</w:t>
      </w:r>
    </w:p>
    <w:p w:rsidR="00F1432A" w:rsidRPr="00D23F68" w:rsidRDefault="00F1432A" w:rsidP="00981D7E">
      <w:pPr>
        <w:jc w:val="center"/>
        <w:rPr>
          <w:rFonts w:ascii="Bookman Old Style" w:hAnsi="Bookman Old Style" w:cs="Times New Roman"/>
          <w:b/>
          <w:color w:val="FF0000"/>
          <w:sz w:val="24"/>
          <w:szCs w:val="24"/>
        </w:rPr>
      </w:pPr>
      <w:r w:rsidRPr="00D23F68">
        <w:rPr>
          <w:rFonts w:ascii="Bookman Old Style" w:hAnsi="Bookman Old Style" w:cs="Times New Roman"/>
          <w:b/>
          <w:color w:val="FF0000"/>
          <w:sz w:val="24"/>
          <w:szCs w:val="24"/>
        </w:rPr>
        <w:t xml:space="preserve">PROPUESTAS DE </w:t>
      </w:r>
    </w:p>
    <w:p w:rsidR="00F1432A" w:rsidRPr="00D23F68" w:rsidRDefault="00F1432A" w:rsidP="00981D7E">
      <w:pPr>
        <w:jc w:val="center"/>
        <w:rPr>
          <w:rFonts w:ascii="Bookman Old Style" w:hAnsi="Bookman Old Style" w:cs="Times New Roman"/>
          <w:b/>
          <w:color w:val="FF0000"/>
          <w:sz w:val="24"/>
          <w:szCs w:val="24"/>
        </w:rPr>
      </w:pPr>
      <w:r w:rsidRPr="00D23F68">
        <w:rPr>
          <w:rFonts w:ascii="Bookman Old Style" w:hAnsi="Bookman Old Style" w:cs="Times New Roman"/>
          <w:b/>
          <w:color w:val="FF0000"/>
          <w:sz w:val="24"/>
          <w:szCs w:val="24"/>
        </w:rPr>
        <w:t>LA ASOCIACIÓN TILGB SILUETA X</w:t>
      </w:r>
    </w:p>
    <w:p w:rsidR="00F1432A" w:rsidRDefault="00F1432A" w:rsidP="00F1432A">
      <w:pPr>
        <w:jc w:val="both"/>
        <w:rPr>
          <w:rFonts w:ascii="Bookman Old Style" w:hAnsi="Bookman Old Style" w:cs="Times New Roman"/>
          <w:b/>
          <w:sz w:val="24"/>
          <w:szCs w:val="24"/>
        </w:rPr>
      </w:pPr>
    </w:p>
    <w:p w:rsidR="00F1432A" w:rsidRPr="00F1432A" w:rsidRDefault="00981D7E" w:rsidP="00F1432A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F1432A">
        <w:rPr>
          <w:rFonts w:ascii="Bookman Old Style" w:hAnsi="Bookman Old Style" w:cs="Times New Roman"/>
          <w:b/>
          <w:sz w:val="24"/>
          <w:szCs w:val="24"/>
        </w:rPr>
        <w:t xml:space="preserve">Art. </w:t>
      </w:r>
      <w:r w:rsidR="00F1432A" w:rsidRPr="00F1432A">
        <w:rPr>
          <w:rFonts w:ascii="Bookman Old Style" w:hAnsi="Bookman Old Style" w:cs="Times New Roman"/>
          <w:b/>
          <w:sz w:val="24"/>
          <w:szCs w:val="24"/>
        </w:rPr>
        <w:t xml:space="preserve">– Revocatoria del permiso de funcionamiento y clausura definitiva del establecimiento comercial </w:t>
      </w:r>
    </w:p>
    <w:p w:rsidR="00F1432A" w:rsidRPr="00F1432A" w:rsidRDefault="00F1432A" w:rsidP="00F1432A">
      <w:pPr>
        <w:jc w:val="both"/>
        <w:rPr>
          <w:rFonts w:ascii="Bookman Old Style" w:hAnsi="Bookman Old Style" w:cs="Times New Roman"/>
          <w:sz w:val="24"/>
          <w:szCs w:val="24"/>
        </w:rPr>
      </w:pPr>
      <w:r w:rsidRPr="00F1432A">
        <w:rPr>
          <w:rFonts w:ascii="Bookman Old Style" w:hAnsi="Bookman Old Style" w:cs="Times New Roman"/>
          <w:sz w:val="24"/>
          <w:szCs w:val="24"/>
        </w:rPr>
        <w:t xml:space="preserve">Es causal de revocatoria </w:t>
      </w:r>
      <w:r>
        <w:rPr>
          <w:rFonts w:ascii="Bookman Old Style" w:hAnsi="Bookman Old Style" w:cs="Times New Roman"/>
          <w:sz w:val="24"/>
          <w:szCs w:val="24"/>
        </w:rPr>
        <w:t>del permiso de</w:t>
      </w:r>
      <w:r w:rsidRPr="00F1432A">
        <w:rPr>
          <w:rFonts w:ascii="Bookman Old Style" w:hAnsi="Bookman Old Style" w:cs="Times New Roman"/>
          <w:sz w:val="24"/>
          <w:szCs w:val="24"/>
        </w:rPr>
        <w:t xml:space="preserve"> funcionamiento y se ordenara, la clausura definitiva del local al titular del establecimiento, si se comprueba la realización de actos discriminatorios</w:t>
      </w:r>
      <w:r w:rsidR="00533A3E">
        <w:rPr>
          <w:rFonts w:ascii="Bookman Old Style" w:hAnsi="Bookman Old Style" w:cs="Times New Roman"/>
          <w:sz w:val="24"/>
          <w:szCs w:val="24"/>
        </w:rPr>
        <w:t xml:space="preserve"> por orientación sexual e identidad de género,</w:t>
      </w:r>
      <w:r w:rsidRPr="00F1432A">
        <w:rPr>
          <w:rFonts w:ascii="Bookman Old Style" w:hAnsi="Bookman Old Style" w:cs="Times New Roman"/>
          <w:sz w:val="24"/>
          <w:szCs w:val="24"/>
        </w:rPr>
        <w:t xml:space="preserve"> a </w:t>
      </w:r>
      <w:r w:rsidR="00533A3E">
        <w:rPr>
          <w:rFonts w:ascii="Bookman Old Style" w:hAnsi="Bookman Old Style" w:cs="Times New Roman"/>
          <w:sz w:val="24"/>
          <w:szCs w:val="24"/>
        </w:rPr>
        <w:t xml:space="preserve">la </w:t>
      </w:r>
      <w:r w:rsidRPr="00F1432A">
        <w:rPr>
          <w:rFonts w:ascii="Bookman Old Style" w:hAnsi="Bookman Old Style" w:cs="Times New Roman"/>
          <w:sz w:val="24"/>
          <w:szCs w:val="24"/>
        </w:rPr>
        <w:t>que se refiere la presente norma.</w:t>
      </w:r>
    </w:p>
    <w:p w:rsidR="00533A3E" w:rsidRPr="00533A3E" w:rsidRDefault="00533A3E" w:rsidP="00981D7E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533A3E">
        <w:rPr>
          <w:rFonts w:ascii="Bookman Old Style" w:hAnsi="Bookman Old Style" w:cs="Times New Roman"/>
          <w:b/>
          <w:sz w:val="24"/>
          <w:szCs w:val="24"/>
        </w:rPr>
        <w:t>Art. – Publicación de los derechos de orientación sexual e identidad de género en los establecimientos locales</w:t>
      </w:r>
    </w:p>
    <w:p w:rsidR="00981D7E" w:rsidRPr="00F1432A" w:rsidRDefault="00981D7E" w:rsidP="00981D7E">
      <w:pPr>
        <w:jc w:val="both"/>
        <w:rPr>
          <w:rFonts w:ascii="Bookman Old Style" w:hAnsi="Bookman Old Style" w:cs="Times New Roman"/>
          <w:sz w:val="24"/>
          <w:szCs w:val="24"/>
        </w:rPr>
      </w:pPr>
      <w:r w:rsidRPr="00F1432A">
        <w:rPr>
          <w:rFonts w:ascii="Bookman Old Style" w:hAnsi="Bookman Old Style" w:cs="Times New Roman"/>
          <w:sz w:val="24"/>
          <w:szCs w:val="24"/>
        </w:rPr>
        <w:t>Los establecimientos comerciales abiertos al público están obligados a exhibir en un lugar visible al público, un cartel que señale lo siguiente: “En este local y en todo el distrito Metropolitano de Quito está prohibida la discriminación por orientación sexual e identidad de género”, así también se debe consignar el número de la presente ordenanza. Este cartel debe tener una dimensión aproximada de 25x40 centímetros, con borde y letras en color rojo sobre fondo blanco</w:t>
      </w:r>
    </w:p>
    <w:p w:rsidR="00981D7E" w:rsidRPr="00F1432A" w:rsidRDefault="00981D7E" w:rsidP="00981D7E">
      <w:pPr>
        <w:jc w:val="both"/>
        <w:rPr>
          <w:rFonts w:ascii="Bookman Old Style" w:hAnsi="Bookman Old Style" w:cs="Times New Roman"/>
          <w:sz w:val="24"/>
          <w:szCs w:val="24"/>
        </w:rPr>
      </w:pPr>
      <w:r w:rsidRPr="00F1432A">
        <w:rPr>
          <w:rFonts w:ascii="Bookman Old Style" w:hAnsi="Bookman Old Style" w:cs="Times New Roman"/>
          <w:noProof/>
          <w:sz w:val="24"/>
          <w:szCs w:val="24"/>
          <w:lang w:eastAsia="es-EC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35885B" wp14:editId="63BCC3A1">
                <wp:simplePos x="0" y="0"/>
                <wp:positionH relativeFrom="column">
                  <wp:posOffset>1671955</wp:posOffset>
                </wp:positionH>
                <wp:positionV relativeFrom="paragraph">
                  <wp:posOffset>5715</wp:posOffset>
                </wp:positionV>
                <wp:extent cx="2529205" cy="1167765"/>
                <wp:effectExtent l="14605" t="15240" r="18415" b="17145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9205" cy="1167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243F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1D7E" w:rsidRPr="003A733C" w:rsidRDefault="00981D7E" w:rsidP="00981D7E">
                            <w:pPr>
                              <w:jc w:val="center"/>
                              <w:rPr>
                                <w:b/>
                                <w:color w:val="FF0000"/>
                              </w:rPr>
                            </w:pPr>
                            <w:r w:rsidRPr="003A733C">
                              <w:rPr>
                                <w:b/>
                                <w:color w:val="FF0000"/>
                              </w:rPr>
                              <w:t xml:space="preserve">ORDENANZA 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LGBT</w:t>
                            </w:r>
                          </w:p>
                          <w:p w:rsidR="00981D7E" w:rsidRPr="003A733C" w:rsidRDefault="00981D7E" w:rsidP="00981D7E">
                            <w:pPr>
                              <w:jc w:val="center"/>
                              <w:rPr>
                                <w:b/>
                                <w:color w:val="FF0000"/>
                              </w:rPr>
                            </w:pPr>
                            <w:r w:rsidRPr="003A733C">
                              <w:rPr>
                                <w:b/>
                                <w:color w:val="FF0000"/>
                              </w:rPr>
                              <w:t>En este local y en todo el distrito Metropolitano de Quito está prohibida la discriminación por orientación sexual e identidad de género.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left:0;text-align:left;margin-left:131.65pt;margin-top:.45pt;width:199.15pt;height:9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" strokecolor="#243f60" strokeweight="2pt">
                <v:textbox>
                  <w:txbxContent>
                    <w:p w:rsidR="00981D7E" w:rsidRPr="003A733C" w:rsidRDefault="00981D7E" w:rsidP="00981D7E">
                      <w:pPr>
                        <w:jc w:val="center"/>
                        <w:rPr>
                          <w:b/>
                          <w:color w:val="FF0000"/>
                        </w:rPr>
                      </w:pPr>
                      <w:r w:rsidRPr="003A733C">
                        <w:rPr>
                          <w:b/>
                          <w:color w:val="FF0000"/>
                        </w:rPr>
                        <w:t xml:space="preserve">ORDENANZA </w:t>
                      </w:r>
                      <w:r>
                        <w:rPr>
                          <w:b/>
                          <w:color w:val="FF0000"/>
                        </w:rPr>
                        <w:t>LGBT</w:t>
                      </w:r>
                    </w:p>
                    <w:p w:rsidR="00981D7E" w:rsidRPr="003A733C" w:rsidRDefault="00981D7E" w:rsidP="00981D7E">
                      <w:pPr>
                        <w:jc w:val="center"/>
                        <w:rPr>
                          <w:b/>
                          <w:color w:val="FF0000"/>
                        </w:rPr>
                      </w:pPr>
                      <w:r w:rsidRPr="003A733C">
                        <w:rPr>
                          <w:b/>
                          <w:color w:val="FF0000"/>
                        </w:rPr>
                        <w:t>En este local y en todo el distrito Metropolitano de Quito está prohibida la discriminación por orientación sexual e identidad de género.</w:t>
                      </w:r>
                    </w:p>
                  </w:txbxContent>
                </v:textbox>
              </v:rect>
            </w:pict>
          </mc:Fallback>
        </mc:AlternateContent>
      </w:r>
    </w:p>
    <w:p w:rsidR="00981D7E" w:rsidRPr="00F1432A" w:rsidRDefault="00981D7E" w:rsidP="00981D7E">
      <w:pPr>
        <w:rPr>
          <w:rFonts w:ascii="Bookman Old Style" w:hAnsi="Bookman Old Style" w:cs="Times New Roman"/>
          <w:sz w:val="24"/>
          <w:szCs w:val="24"/>
        </w:rPr>
      </w:pPr>
    </w:p>
    <w:p w:rsidR="00981D7E" w:rsidRPr="00F1432A" w:rsidRDefault="00981D7E" w:rsidP="00981D7E">
      <w:pPr>
        <w:rPr>
          <w:rFonts w:ascii="Bookman Old Style" w:hAnsi="Bookman Old Style" w:cs="Times New Roman"/>
          <w:sz w:val="24"/>
          <w:szCs w:val="24"/>
        </w:rPr>
      </w:pPr>
    </w:p>
    <w:p w:rsidR="004130FD" w:rsidRDefault="004130FD" w:rsidP="00981D7E">
      <w:pPr>
        <w:rPr>
          <w:rFonts w:ascii="Bookman Old Style" w:hAnsi="Bookman Old Style" w:cs="Times New Roman"/>
          <w:sz w:val="24"/>
          <w:szCs w:val="24"/>
        </w:rPr>
      </w:pPr>
    </w:p>
    <w:p w:rsidR="004130FD" w:rsidRDefault="004130FD" w:rsidP="00981D7E">
      <w:pPr>
        <w:rPr>
          <w:rFonts w:ascii="Bookman Old Style" w:hAnsi="Bookman Old Style" w:cs="Times New Roman"/>
          <w:sz w:val="24"/>
          <w:szCs w:val="24"/>
        </w:rPr>
      </w:pPr>
    </w:p>
    <w:p w:rsidR="00981D7E" w:rsidRPr="004130FD" w:rsidRDefault="00981D7E" w:rsidP="004130FD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4130FD">
        <w:rPr>
          <w:rFonts w:ascii="Bookman Old Style" w:hAnsi="Bookman Old Style" w:cs="Times New Roman"/>
          <w:b/>
          <w:sz w:val="24"/>
          <w:szCs w:val="24"/>
        </w:rPr>
        <w:lastRenderedPageBreak/>
        <w:t xml:space="preserve">Art. - </w:t>
      </w:r>
      <w:r w:rsidR="002E1A44">
        <w:rPr>
          <w:rFonts w:ascii="Bookman Old Style" w:hAnsi="Bookman Old Style" w:cs="Times New Roman"/>
          <w:b/>
          <w:sz w:val="24"/>
          <w:szCs w:val="24"/>
        </w:rPr>
        <w:t>P</w:t>
      </w:r>
      <w:r w:rsidR="002E1A44" w:rsidRPr="004130FD">
        <w:rPr>
          <w:rFonts w:ascii="Bookman Old Style" w:hAnsi="Bookman Old Style" w:cs="Times New Roman"/>
          <w:b/>
          <w:sz w:val="24"/>
          <w:szCs w:val="24"/>
        </w:rPr>
        <w:t>rohibición de colocar carteles o anuncios de publicidad discriminatoria de forma general</w:t>
      </w:r>
    </w:p>
    <w:p w:rsidR="004130FD" w:rsidRDefault="004130FD" w:rsidP="004130FD">
      <w:pPr>
        <w:jc w:val="both"/>
        <w:rPr>
          <w:rFonts w:ascii="Bookman Old Style" w:hAnsi="Bookman Old Style" w:cs="Times New Roman"/>
          <w:sz w:val="24"/>
          <w:szCs w:val="24"/>
        </w:rPr>
      </w:pPr>
      <w:r w:rsidRPr="004130FD">
        <w:rPr>
          <w:rFonts w:ascii="Bookman Old Style" w:hAnsi="Bookman Old Style" w:cs="Times New Roman"/>
          <w:sz w:val="24"/>
          <w:szCs w:val="24"/>
        </w:rPr>
        <w:t>Está</w:t>
      </w:r>
      <w:r w:rsidRPr="004130FD">
        <w:rPr>
          <w:rFonts w:ascii="Bookman Old Style" w:hAnsi="Bookman Old Style" w:cs="Times New Roman"/>
          <w:sz w:val="24"/>
          <w:szCs w:val="24"/>
        </w:rPr>
        <w:t xml:space="preserve"> prohibido colocar carteles, anuncios u otros elementos de publicidad en los establecimientos abiertos al público o dentro del ámbito juri</w:t>
      </w:r>
      <w:r>
        <w:rPr>
          <w:rFonts w:ascii="Bookman Old Style" w:hAnsi="Bookman Old Style" w:cs="Times New Roman"/>
          <w:sz w:val="24"/>
          <w:szCs w:val="24"/>
        </w:rPr>
        <w:t>sdiccional del distrito Metropolitano de Quito</w:t>
      </w:r>
      <w:r w:rsidRPr="004130FD">
        <w:rPr>
          <w:rFonts w:ascii="Bookman Old Style" w:hAnsi="Bookman Old Style" w:cs="Times New Roman"/>
          <w:sz w:val="24"/>
          <w:szCs w:val="24"/>
        </w:rPr>
        <w:t xml:space="preserve">, que consignen frases discriminatorias, tales como </w:t>
      </w:r>
      <w:r w:rsidRPr="004130FD">
        <w:rPr>
          <w:rFonts w:ascii="Bookman Old Style" w:hAnsi="Bookman Old Style" w:cs="Times New Roman"/>
          <w:b/>
          <w:color w:val="FF0000"/>
          <w:sz w:val="24"/>
          <w:szCs w:val="24"/>
        </w:rPr>
        <w:t>“nos reservamos el derecho de admisión”,</w:t>
      </w:r>
      <w:r w:rsidRPr="004130FD">
        <w:rPr>
          <w:rFonts w:ascii="Bookman Old Style" w:hAnsi="Bookman Old Style" w:cs="Times New Roman"/>
          <w:sz w:val="24"/>
          <w:szCs w:val="24"/>
        </w:rPr>
        <w:t xml:space="preserve"> u otras similares. En caso de presentar determinadas restricciones, estas deben ser, además de razonables, objetivas, expresas y </w:t>
      </w:r>
      <w:r>
        <w:rPr>
          <w:rFonts w:ascii="Bookman Old Style" w:hAnsi="Bookman Old Style" w:cs="Times New Roman"/>
          <w:sz w:val="24"/>
          <w:szCs w:val="24"/>
        </w:rPr>
        <w:t>visibles, de aplicación general, relacionadas a las leyes y políticas públicas actuales.</w:t>
      </w:r>
    </w:p>
    <w:p w:rsidR="004130FD" w:rsidRPr="004130FD" w:rsidRDefault="002E1A44" w:rsidP="004130FD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Art</w:t>
      </w:r>
      <w:r w:rsidR="004130FD" w:rsidRPr="004130FD">
        <w:rPr>
          <w:rFonts w:ascii="Bookman Old Style" w:hAnsi="Bookman Old Style" w:cs="Times New Roman"/>
          <w:b/>
          <w:sz w:val="24"/>
          <w:szCs w:val="24"/>
        </w:rPr>
        <w:t>.</w:t>
      </w:r>
      <w:r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4130FD" w:rsidRPr="004130FD">
        <w:rPr>
          <w:rFonts w:ascii="Bookman Old Style" w:hAnsi="Bookman Old Style" w:cs="Times New Roman"/>
          <w:b/>
          <w:sz w:val="24"/>
          <w:szCs w:val="24"/>
        </w:rPr>
        <w:t>- D</w:t>
      </w:r>
      <w:r w:rsidRPr="004130FD">
        <w:rPr>
          <w:rFonts w:ascii="Bookman Old Style" w:hAnsi="Bookman Old Style" w:cs="Times New Roman"/>
          <w:b/>
          <w:sz w:val="24"/>
          <w:szCs w:val="24"/>
        </w:rPr>
        <w:t>enuncias</w:t>
      </w:r>
      <w:r>
        <w:rPr>
          <w:rFonts w:ascii="Bookman Old Style" w:hAnsi="Bookman Old Style" w:cs="Times New Roman"/>
          <w:b/>
          <w:sz w:val="24"/>
          <w:szCs w:val="24"/>
        </w:rPr>
        <w:t xml:space="preserve"> por orientación sexual o identidad de género</w:t>
      </w:r>
    </w:p>
    <w:p w:rsidR="004130FD" w:rsidRPr="001627AD" w:rsidRDefault="001627AD" w:rsidP="004130FD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L</w:t>
      </w:r>
      <w:r w:rsidR="004130FD" w:rsidRPr="001627AD">
        <w:rPr>
          <w:rFonts w:ascii="Bookman Old Style" w:hAnsi="Bookman Old Style" w:cs="Times New Roman"/>
          <w:sz w:val="24"/>
          <w:szCs w:val="24"/>
        </w:rPr>
        <w:t xml:space="preserve">as personas que se sientan afectadas por prácticas discriminatorias a </w:t>
      </w:r>
      <w:r w:rsidR="004130FD" w:rsidRPr="001627AD">
        <w:rPr>
          <w:rFonts w:ascii="Bookman Old Style" w:hAnsi="Bookman Old Style" w:cs="Times New Roman"/>
          <w:sz w:val="24"/>
          <w:szCs w:val="24"/>
        </w:rPr>
        <w:t>razón de su orientación sexual o</w:t>
      </w:r>
      <w:r w:rsidR="004130FD" w:rsidRPr="001627AD">
        <w:rPr>
          <w:rFonts w:ascii="Bookman Old Style" w:hAnsi="Bookman Old Style" w:cs="Times New Roman"/>
          <w:sz w:val="24"/>
          <w:szCs w:val="24"/>
        </w:rPr>
        <w:t xml:space="preserve"> identidad de género, deben canalizar sus denuncias a través de</w:t>
      </w:r>
      <w:r w:rsidRPr="001627AD">
        <w:rPr>
          <w:rFonts w:ascii="Bookman Old Style" w:hAnsi="Bookman Old Style" w:cs="Times New Roman"/>
          <w:sz w:val="24"/>
          <w:szCs w:val="24"/>
        </w:rPr>
        <w:t xml:space="preserve"> </w:t>
      </w:r>
      <w:r w:rsidRPr="001627AD">
        <w:rPr>
          <w:rFonts w:ascii="Bookman Old Style" w:hAnsi="Bookman Old Style" w:cs="Times New Roman"/>
          <w:sz w:val="24"/>
          <w:szCs w:val="24"/>
        </w:rPr>
        <w:t>La Comisión</w:t>
      </w:r>
      <w:r>
        <w:rPr>
          <w:rFonts w:ascii="Bookman Old Style" w:hAnsi="Bookman Old Style" w:cs="Times New Roman"/>
          <w:sz w:val="24"/>
          <w:szCs w:val="24"/>
        </w:rPr>
        <w:t xml:space="preserve"> que designe la presente, </w:t>
      </w:r>
      <w:r w:rsidRPr="001627AD">
        <w:rPr>
          <w:rFonts w:ascii="Bookman Old Style" w:hAnsi="Bookman Old Style" w:cs="Times New Roman"/>
          <w:sz w:val="24"/>
          <w:szCs w:val="24"/>
        </w:rPr>
        <w:t xml:space="preserve">quien dará seguimiento </w:t>
      </w:r>
      <w:r w:rsidR="004130FD" w:rsidRPr="001627AD">
        <w:rPr>
          <w:rFonts w:ascii="Bookman Old Style" w:hAnsi="Bookman Old Style" w:cs="Times New Roman"/>
          <w:sz w:val="24"/>
          <w:szCs w:val="24"/>
        </w:rPr>
        <w:t>a fin de eliminar estas prácticas</w:t>
      </w:r>
      <w:r w:rsidRPr="001627AD">
        <w:rPr>
          <w:rFonts w:ascii="Bookman Old Style" w:hAnsi="Bookman Old Style" w:cs="Times New Roman"/>
          <w:sz w:val="24"/>
          <w:szCs w:val="24"/>
        </w:rPr>
        <w:t xml:space="preserve"> discriminatorias</w:t>
      </w:r>
      <w:r w:rsidR="004130FD" w:rsidRPr="001627AD">
        <w:rPr>
          <w:rFonts w:ascii="Bookman Old Style" w:hAnsi="Bookman Old Style" w:cs="Times New Roman"/>
          <w:sz w:val="24"/>
          <w:szCs w:val="24"/>
        </w:rPr>
        <w:t xml:space="preserve"> y promover la igualdad d</w:t>
      </w:r>
      <w:r>
        <w:rPr>
          <w:rFonts w:ascii="Bookman Old Style" w:hAnsi="Bookman Old Style" w:cs="Times New Roman"/>
          <w:sz w:val="24"/>
          <w:szCs w:val="24"/>
        </w:rPr>
        <w:t xml:space="preserve">e las personas, sin perjuicio </w:t>
      </w:r>
      <w:r w:rsidR="004130FD" w:rsidRPr="001627AD">
        <w:rPr>
          <w:rFonts w:ascii="Bookman Old Style" w:hAnsi="Bookman Old Style" w:cs="Times New Roman"/>
          <w:sz w:val="24"/>
          <w:szCs w:val="24"/>
        </w:rPr>
        <w:t>de coordinar las medidas administ</w:t>
      </w:r>
      <w:r>
        <w:rPr>
          <w:rFonts w:ascii="Bookman Old Style" w:hAnsi="Bookman Old Style" w:cs="Times New Roman"/>
          <w:sz w:val="24"/>
          <w:szCs w:val="24"/>
        </w:rPr>
        <w:t>rativas que correspondan</w:t>
      </w:r>
      <w:r w:rsidR="004130FD" w:rsidRPr="001627AD">
        <w:rPr>
          <w:rFonts w:ascii="Bookman Old Style" w:hAnsi="Bookman Old Style" w:cs="Times New Roman"/>
          <w:sz w:val="24"/>
          <w:szCs w:val="24"/>
        </w:rPr>
        <w:t xml:space="preserve"> o las</w:t>
      </w:r>
      <w:bookmarkStart w:id="0" w:name="_GoBack"/>
      <w:bookmarkEnd w:id="0"/>
      <w:r w:rsidR="004130FD" w:rsidRPr="001627AD">
        <w:rPr>
          <w:rFonts w:ascii="Bookman Old Style" w:hAnsi="Bookman Old Style" w:cs="Times New Roman"/>
          <w:sz w:val="24"/>
          <w:szCs w:val="24"/>
        </w:rPr>
        <w:t xml:space="preserve"> denunc</w:t>
      </w:r>
      <w:r>
        <w:rPr>
          <w:rFonts w:ascii="Bookman Old Style" w:hAnsi="Bookman Old Style" w:cs="Times New Roman"/>
          <w:sz w:val="24"/>
          <w:szCs w:val="24"/>
        </w:rPr>
        <w:t>ias penales que surjan de dicho acto</w:t>
      </w:r>
      <w:r w:rsidRPr="001627AD">
        <w:rPr>
          <w:rFonts w:ascii="Bookman Old Style" w:hAnsi="Bookman Old Style" w:cs="Times New Roman"/>
          <w:sz w:val="24"/>
          <w:szCs w:val="24"/>
        </w:rPr>
        <w:t>.</w:t>
      </w:r>
    </w:p>
    <w:p w:rsidR="004130FD" w:rsidRPr="004130FD" w:rsidRDefault="004130FD" w:rsidP="004130FD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4130FD" w:rsidRDefault="004130FD" w:rsidP="00981D7E">
      <w:pPr>
        <w:rPr>
          <w:b/>
          <w:u w:val="single"/>
        </w:rPr>
      </w:pPr>
    </w:p>
    <w:p w:rsidR="004130FD" w:rsidRPr="00F1432A" w:rsidRDefault="004130FD" w:rsidP="00981D7E">
      <w:pPr>
        <w:rPr>
          <w:rFonts w:ascii="Bookman Old Style" w:hAnsi="Bookman Old Style" w:cs="Times New Roman"/>
          <w:sz w:val="24"/>
          <w:szCs w:val="24"/>
        </w:rPr>
      </w:pPr>
    </w:p>
    <w:sectPr w:rsidR="004130FD" w:rsidRPr="00F143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D7E"/>
    <w:rsid w:val="001627AD"/>
    <w:rsid w:val="002E1A44"/>
    <w:rsid w:val="004130FD"/>
    <w:rsid w:val="00533A3E"/>
    <w:rsid w:val="00981D7E"/>
    <w:rsid w:val="00BB07B0"/>
    <w:rsid w:val="00D23F68"/>
    <w:rsid w:val="00F1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81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1D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81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1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875F7-B296-484C-86F9-0EEBB25FB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342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3</cp:revision>
  <dcterms:created xsi:type="dcterms:W3CDTF">2015-01-26T22:56:00Z</dcterms:created>
  <dcterms:modified xsi:type="dcterms:W3CDTF">2015-01-27T00:12:00Z</dcterms:modified>
</cp:coreProperties>
</file>